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汝阳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县20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年引进研究生学历人才计划表</w:t>
      </w:r>
      <w:bookmarkEnd w:id="0"/>
    </w:p>
    <w:tbl>
      <w:tblPr>
        <w:tblStyle w:val="2"/>
        <w:tblpPr w:leftFromText="180" w:rightFromText="180" w:vertAnchor="text" w:horzAnchor="page" w:tblpXSpec="center" w:tblpY="379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15"/>
        <w:gridCol w:w="9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  <w:t>专业范围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1"/>
                <w:szCs w:val="21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-25" w:rightChars="-12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2001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马克思主义基本原理、马克思主义发展史、马克思主义中国化研究、思想政治教育、中共党史、马克思主义哲学</w:t>
            </w:r>
            <w:r>
              <w:rPr>
                <w:rStyle w:val="5"/>
                <w:lang w:val="en-US" w:eastAsia="zh-CN" w:bidi="ar"/>
              </w:rPr>
              <w:t>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2002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财政学、产业经济学、国民经济学、金融学、审计、世界经济、应用统计等相关专业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2003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法律、民商法学、讼诉法学、经济法学、宪法学与行政法学等相关专业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2004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中国语言文学、汉语言文字学、中国当代文学、语言学及应用语言学等相关专业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2005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新闻与传播、广播电视、传播学、新闻学、新闻传播学、美术学、艺术学、舞蹈学、图书馆学、旅游管理、考古学及博物馆、文物与博物馆等相关专业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2006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计算机软件与理论、计算机科学技术、计算机应用技术、</w:t>
            </w:r>
            <w:r>
              <w:rPr>
                <w:rStyle w:val="6"/>
                <w:color w:val="000000"/>
                <w:u w:val="none"/>
                <w:lang w:val="en-US" w:eastAsia="zh-CN" w:bidi="ar"/>
              </w:rPr>
              <w:t>信息与通信工程、电子与通信工程、</w:t>
            </w:r>
            <w:r>
              <w:rPr>
                <w:rStyle w:val="5"/>
                <w:color w:val="000000"/>
                <w:u w:val="none"/>
                <w:lang w:val="en-US" w:eastAsia="zh-CN" w:bidi="ar"/>
              </w:rPr>
              <w:t>网络空间安全等相关专业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2007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材料学、材料科学与工程、药学、地质学等相关专业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2008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食品科学与工程、食品科学、粮食油脂及植物蛋白工程、农产品加工及贮藏工程、水产品加工及贮藏工程、城市规划与设计、城市规划、土木工程、市政工程、建筑与土木工程、交通运输规划与管理、防灾减灾工程及防护工程、地质工程、项目管理、测绘工程、水利工程、水利水电工程、测绘工程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2009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畜牧学、兽医学、水产、作物、园艺、农业资源利用、植物保护、养殖、渔业、农业机械化、农村与区域发展、农业科技组织与服务、农业信息化、食品加工与安全、设施农业、种业、风景园林、风景园林学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2010    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会计、会计学、企业管理、工商管理、行政管理等相关专业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2011</w:t>
            </w:r>
          </w:p>
        </w:tc>
        <w:tc>
          <w:tcPr>
            <w:tcW w:w="6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环境科学、环境工程、环境科学与工程等相关专业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合       计</w:t>
            </w:r>
          </w:p>
        </w:tc>
        <w:tc>
          <w:tcPr>
            <w:tcW w:w="9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0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1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黑体" w:hAnsi="宋体" w:eastAsia="黑体" w:cs="黑体"/>
      <w:color w:val="FF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2020-06-23T03:46:11Z</dcterms:created>
  <dc:creator>Administrator</dc:creator>
  <cp:lastModifiedBy>时光.未眠</cp:lastModifiedBy>
  <dcterms:modified xsi:type="dcterms:W3CDTF">2020-06-23T03:46:30Z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