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574EC">
      <w:pPr>
        <w:ind w:firstLine="88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1、予以</w:t>
      </w:r>
      <w:r>
        <w:rPr>
          <w:rFonts w:hint="eastAsia" w:ascii="仿宋_GB2312" w:hAnsi="仿宋_GB2312" w:eastAsia="仿宋_GB2312" w:cs="仿宋_GB2312"/>
          <w:sz w:val="44"/>
          <w:szCs w:val="44"/>
        </w:rPr>
        <w:t>认定工伤人员名单</w:t>
      </w:r>
      <w:r>
        <w:rPr>
          <w:rFonts w:hint="eastAsia" w:ascii="仿宋_GB2312" w:hAnsi="仿宋_GB2312" w:eastAsia="仿宋_GB2312" w:cs="仿宋_GB2312"/>
          <w:sz w:val="44"/>
          <w:szCs w:val="44"/>
          <w:lang w:eastAsia="zh-CN"/>
        </w:rPr>
        <w:t>。</w:t>
      </w: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499B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03BFD55E">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2DC362E7">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4E5FF3DD">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0E0916C9">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0B1E25B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0C5FD9A0">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4B3C9DCB">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7FA3261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4E6FE6A6">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4276B0A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6F596D19">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345794A1">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44D8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1F1EC5AF">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1</w:t>
            </w:r>
          </w:p>
        </w:tc>
        <w:tc>
          <w:tcPr>
            <w:tcW w:w="510" w:type="dxa"/>
            <w:noWrap w:val="0"/>
            <w:vAlign w:val="center"/>
          </w:tcPr>
          <w:p w14:paraId="35AE2D04">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汝阳优克玻璃有限公司</w:t>
            </w:r>
          </w:p>
        </w:tc>
        <w:tc>
          <w:tcPr>
            <w:tcW w:w="810" w:type="dxa"/>
            <w:noWrap w:val="0"/>
            <w:vAlign w:val="center"/>
          </w:tcPr>
          <w:p w14:paraId="6B00F055">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汝阳优克玻璃有限公司</w:t>
            </w:r>
          </w:p>
        </w:tc>
        <w:tc>
          <w:tcPr>
            <w:tcW w:w="810" w:type="dxa"/>
            <w:noWrap w:val="0"/>
            <w:vAlign w:val="center"/>
          </w:tcPr>
          <w:p w14:paraId="7FC5E3F3">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翟晓花</w:t>
            </w:r>
          </w:p>
        </w:tc>
        <w:tc>
          <w:tcPr>
            <w:tcW w:w="1440" w:type="dxa"/>
            <w:noWrap w:val="0"/>
            <w:vAlign w:val="center"/>
          </w:tcPr>
          <w:p w14:paraId="65B2F683">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2024-08-24</w:t>
            </w:r>
          </w:p>
        </w:tc>
        <w:tc>
          <w:tcPr>
            <w:tcW w:w="1485" w:type="dxa"/>
            <w:noWrap w:val="0"/>
            <w:vAlign w:val="center"/>
          </w:tcPr>
          <w:p w14:paraId="6C93C9FD">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2024-09-02</w:t>
            </w:r>
          </w:p>
        </w:tc>
        <w:tc>
          <w:tcPr>
            <w:tcW w:w="1530" w:type="dxa"/>
            <w:noWrap w:val="0"/>
            <w:vAlign w:val="center"/>
          </w:tcPr>
          <w:p w14:paraId="6ED0CC5F">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2024-09-16</w:t>
            </w:r>
          </w:p>
        </w:tc>
        <w:tc>
          <w:tcPr>
            <w:tcW w:w="1620" w:type="dxa"/>
            <w:noWrap w:val="0"/>
            <w:vAlign w:val="center"/>
          </w:tcPr>
          <w:p w14:paraId="261BAEDD">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汝阳优克玻璃有限公司生产车间的镀膜工段</w:t>
            </w:r>
          </w:p>
        </w:tc>
        <w:tc>
          <w:tcPr>
            <w:tcW w:w="3225" w:type="dxa"/>
            <w:noWrap w:val="0"/>
            <w:vAlign w:val="center"/>
          </w:tcPr>
          <w:p w14:paraId="3270D6CE">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8月24日23时05分左右（24小时），翟晓花在汝阳优克玻璃有限公司生产车间的镀膜工段内工作过程中，叉车运输的来料玻璃在玻璃架上倾倒砸伤其右腿，活动受限，伤后被送至汝阳县妇幼保健院救治。被汝阳县妇幼保健院外科诊断为：下肢开放性伤口；1、右侧腘窝血管神经肌腱损伤；2、右侧腘窝皮肤脱套伤。（伤情诊断结论以医院诊断结论为准。）</w:t>
            </w:r>
          </w:p>
        </w:tc>
        <w:tc>
          <w:tcPr>
            <w:tcW w:w="1125" w:type="dxa"/>
            <w:noWrap w:val="0"/>
            <w:vAlign w:val="center"/>
          </w:tcPr>
          <w:p w14:paraId="6184DD60">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右腿</w:t>
            </w:r>
          </w:p>
        </w:tc>
        <w:tc>
          <w:tcPr>
            <w:tcW w:w="1186" w:type="dxa"/>
            <w:noWrap w:val="0"/>
            <w:vAlign w:val="center"/>
          </w:tcPr>
          <w:p w14:paraId="4C9F8D74">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被汝阳县妇幼保健院外科诊断为：下肢开放性伤口；1、右侧腘窝血管神经肌腱损伤；2、右侧腘窝皮肤脱套伤。（伤情诊断结论以医院诊断结论为准。）</w:t>
            </w:r>
          </w:p>
        </w:tc>
        <w:tc>
          <w:tcPr>
            <w:tcW w:w="1168" w:type="dxa"/>
            <w:noWrap w:val="0"/>
            <w:vAlign w:val="center"/>
          </w:tcPr>
          <w:p w14:paraId="154ABE0E">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r w14:paraId="1D5AB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6BAD88E0">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4BE8EE1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073DC8A4">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5B09C2FD">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314801F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67539331">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5070F52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1864827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1B15A40">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2340EBC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251216E0">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13E02CE2">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4EEE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39F028B7">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2</w:t>
            </w:r>
          </w:p>
        </w:tc>
        <w:tc>
          <w:tcPr>
            <w:tcW w:w="510" w:type="dxa"/>
            <w:noWrap w:val="0"/>
            <w:vAlign w:val="center"/>
          </w:tcPr>
          <w:p w14:paraId="59D0DDE4">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苏岩磊</w:t>
            </w:r>
          </w:p>
        </w:tc>
        <w:tc>
          <w:tcPr>
            <w:tcW w:w="810" w:type="dxa"/>
            <w:noWrap w:val="0"/>
            <w:vAlign w:val="center"/>
          </w:tcPr>
          <w:p w14:paraId="4C9B5654">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洛阳鸿路建筑科技有限公司</w:t>
            </w:r>
          </w:p>
        </w:tc>
        <w:tc>
          <w:tcPr>
            <w:tcW w:w="810" w:type="dxa"/>
            <w:noWrap w:val="0"/>
            <w:vAlign w:val="center"/>
          </w:tcPr>
          <w:p w14:paraId="421654B9">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苏岩磊</w:t>
            </w:r>
          </w:p>
        </w:tc>
        <w:tc>
          <w:tcPr>
            <w:tcW w:w="1440" w:type="dxa"/>
            <w:noWrap w:val="0"/>
            <w:vAlign w:val="center"/>
          </w:tcPr>
          <w:p w14:paraId="590392CD">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2024-03-05</w:t>
            </w:r>
          </w:p>
        </w:tc>
        <w:tc>
          <w:tcPr>
            <w:tcW w:w="1485" w:type="dxa"/>
            <w:noWrap w:val="0"/>
            <w:vAlign w:val="center"/>
          </w:tcPr>
          <w:p w14:paraId="3196D8AB">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2024-07-20</w:t>
            </w:r>
          </w:p>
        </w:tc>
        <w:tc>
          <w:tcPr>
            <w:tcW w:w="1530" w:type="dxa"/>
            <w:noWrap w:val="0"/>
            <w:vAlign w:val="center"/>
          </w:tcPr>
          <w:p w14:paraId="2EF8A714">
            <w:pPr>
              <w:widowControl/>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2024-08-31</w:t>
            </w:r>
          </w:p>
        </w:tc>
        <w:tc>
          <w:tcPr>
            <w:tcW w:w="1620" w:type="dxa"/>
            <w:noWrap w:val="0"/>
            <w:vAlign w:val="center"/>
          </w:tcPr>
          <w:p w14:paraId="09221EB9">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洛阳鸿路建筑科技有限公司二期车间五线</w:t>
            </w:r>
          </w:p>
        </w:tc>
        <w:tc>
          <w:tcPr>
            <w:tcW w:w="3225" w:type="dxa"/>
            <w:noWrap w:val="0"/>
            <w:vAlign w:val="center"/>
          </w:tcPr>
          <w:p w14:paraId="4E36567D">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年3月5日8时30分左右（24小时），苏岩磊在洛阳鸿路建筑科技有限公司二期车间五线从事钢梁组立工作时，在用行车吊钢板的过程中，被行车碰倒的钢板砸伤左腿，活动受限，伤后被送至汝阳县人民医院救治。被汝阳县人民医院骨一科诊断为：1、左胫骨干骨折（粉碎性）；2、左腓骨头骨折。（伤情诊断结论以医院诊断结论为准。）</w:t>
            </w:r>
          </w:p>
        </w:tc>
        <w:tc>
          <w:tcPr>
            <w:tcW w:w="1125" w:type="dxa"/>
            <w:noWrap w:val="0"/>
            <w:vAlign w:val="center"/>
          </w:tcPr>
          <w:p w14:paraId="7D4E583D">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左腿</w:t>
            </w:r>
          </w:p>
        </w:tc>
        <w:tc>
          <w:tcPr>
            <w:tcW w:w="1186" w:type="dxa"/>
            <w:noWrap w:val="0"/>
            <w:vAlign w:val="center"/>
          </w:tcPr>
          <w:p w14:paraId="193E9EAC">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被汝阳县人民医院骨一科诊断为：1、左胫骨干骨折（粉碎性）；2、左腓骨头骨折。（伤情诊断结论以医院诊断结论为准。）</w:t>
            </w:r>
          </w:p>
        </w:tc>
        <w:tc>
          <w:tcPr>
            <w:tcW w:w="1168" w:type="dxa"/>
            <w:noWrap w:val="0"/>
            <w:vAlign w:val="center"/>
          </w:tcPr>
          <w:p w14:paraId="1E0F8E94">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39D92BBC">
      <w:pPr>
        <w:tabs>
          <w:tab w:val="left" w:pos="9574"/>
        </w:tabs>
        <w:ind w:right="-718" w:rightChars="-342"/>
        <w:jc w:val="both"/>
        <w:rPr>
          <w:rFonts w:hint="default" w:ascii="宋体" w:hAnsi="宋体"/>
          <w:sz w:val="32"/>
          <w:szCs w:val="32"/>
          <w:lang w:val="en-US" w:eastAsia="zh-CN"/>
        </w:rPr>
      </w:pPr>
    </w:p>
    <w:p w14:paraId="072C1C51">
      <w:pPr>
        <w:tabs>
          <w:tab w:val="left" w:pos="9574"/>
        </w:tabs>
        <w:ind w:right="-718" w:rightChars="-342"/>
        <w:jc w:val="both"/>
        <w:rPr>
          <w:rFonts w:hint="default" w:ascii="宋体" w:hAnsi="宋体"/>
          <w:sz w:val="32"/>
          <w:szCs w:val="32"/>
          <w:lang w:val="en-US" w:eastAsia="zh-CN"/>
        </w:rPr>
      </w:pP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0CB6C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288BC1FD">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73210EAD">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64FB89C0">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7CA9003B">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7FDE733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7E57104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4DE17CC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71525FF0">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51049D7B">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6276CE3A">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7003AEC7">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0B908749">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6111B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239A123B">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3</w:t>
            </w:r>
          </w:p>
        </w:tc>
        <w:tc>
          <w:tcPr>
            <w:tcW w:w="510" w:type="dxa"/>
            <w:noWrap w:val="0"/>
            <w:vAlign w:val="center"/>
          </w:tcPr>
          <w:p w14:paraId="0FF155F3">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窦轻丽</w:t>
            </w:r>
          </w:p>
        </w:tc>
        <w:tc>
          <w:tcPr>
            <w:tcW w:w="810" w:type="dxa"/>
            <w:noWrap w:val="0"/>
            <w:vAlign w:val="center"/>
          </w:tcPr>
          <w:p w14:paraId="045CE62E">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28"/>
                <w:szCs w:val="28"/>
              </w:rPr>
              <w:t>洛阳鸿路建筑科技有限公司</w:t>
            </w:r>
          </w:p>
        </w:tc>
        <w:tc>
          <w:tcPr>
            <w:tcW w:w="810" w:type="dxa"/>
            <w:noWrap w:val="0"/>
            <w:vAlign w:val="center"/>
          </w:tcPr>
          <w:p w14:paraId="1D875258">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窦轻丽</w:t>
            </w:r>
          </w:p>
        </w:tc>
        <w:tc>
          <w:tcPr>
            <w:tcW w:w="1440" w:type="dxa"/>
            <w:noWrap w:val="0"/>
            <w:vAlign w:val="center"/>
          </w:tcPr>
          <w:p w14:paraId="2EE4DCA4">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2023-12-11</w:t>
            </w:r>
          </w:p>
        </w:tc>
        <w:tc>
          <w:tcPr>
            <w:tcW w:w="1485" w:type="dxa"/>
            <w:noWrap w:val="0"/>
            <w:vAlign w:val="center"/>
          </w:tcPr>
          <w:p w14:paraId="08C72E96">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2024-05-24</w:t>
            </w:r>
          </w:p>
        </w:tc>
        <w:tc>
          <w:tcPr>
            <w:tcW w:w="1530" w:type="dxa"/>
            <w:noWrap w:val="0"/>
            <w:vAlign w:val="center"/>
          </w:tcPr>
          <w:p w14:paraId="436B5E75">
            <w:pPr>
              <w:widowControl/>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2024-08-31</w:t>
            </w:r>
          </w:p>
        </w:tc>
        <w:tc>
          <w:tcPr>
            <w:tcW w:w="1620" w:type="dxa"/>
            <w:noWrap w:val="0"/>
            <w:vAlign w:val="center"/>
          </w:tcPr>
          <w:p w14:paraId="638DBC93">
            <w:pPr>
              <w:widowControl/>
              <w:jc w:val="both"/>
              <w:rPr>
                <w:rFonts w:hint="eastAsia" w:ascii="仿宋_GB2312" w:hAnsi="仿宋_GB2312" w:eastAsia="仿宋_GB2312" w:cs="仿宋_GB2312"/>
                <w:b w:val="0"/>
                <w:bCs w:val="0"/>
                <w:sz w:val="32"/>
                <w:szCs w:val="32"/>
                <w:vertAlign w:val="baseline"/>
                <w:lang w:val="en-US" w:eastAsia="zh-CN"/>
              </w:rPr>
            </w:pPr>
            <w:r>
              <w:rPr>
                <w:rFonts w:ascii="Helvetica" w:hAnsi="Helvetica" w:eastAsia="Helvetica" w:cs="Helvetica"/>
                <w:sz w:val="32"/>
                <w:szCs w:val="32"/>
              </w:rPr>
              <w:t>（罗葛线4公里）汝阳县陶营乡罗营村温占伟家东38米处</w:t>
            </w:r>
          </w:p>
        </w:tc>
        <w:tc>
          <w:tcPr>
            <w:tcW w:w="3225" w:type="dxa"/>
            <w:noWrap w:val="0"/>
            <w:vAlign w:val="center"/>
          </w:tcPr>
          <w:p w14:paraId="3AC75B96">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2023年12月11日下午下班后，窦轻丽因电动车没电，被家父窦新合驾驶“北方永盛”三轮车一前一后接其回家途中，在18时01分左右沿罗葛线行驶至陶营乡罗营村温占伟家东38米处时，被张晓晓驾驶豫C807NW号小型普通客车沿罗葛线同向行驶欲超车时相撞，造成窦轻丽及其家父受伤及车辆损坏的交通事故，肇事人张晓晓承担该起事故的全部责任，窦轻丽和家父不承担责任，伤后被送至汝阳县人民医院救治。被汝阳县人民医院胸腔外科诊断为：1、多发肋骨骨折（第3，4，5，6，7，8，9，10肋）；2、双肺挫伤；3、多处皮肤挫伤；4、头皮裂伤；5、头皮血肿；6、面部软组织损伤；7、腹部损伤、肠管损伤？腹腔积血？；8、多处软组织损伤。（伤情诊断以医院诊断结论为准）</w:t>
            </w:r>
          </w:p>
        </w:tc>
        <w:tc>
          <w:tcPr>
            <w:tcW w:w="1125" w:type="dxa"/>
            <w:noWrap w:val="0"/>
            <w:vAlign w:val="center"/>
          </w:tcPr>
          <w:p w14:paraId="3EC62ED0">
            <w:pPr>
              <w:widowControl/>
              <w:jc w:val="both"/>
              <w:rPr>
                <w:rFonts w:hint="eastAsia" w:ascii="仿宋_GB2312" w:hAnsi="仿宋_GB2312" w:eastAsia="仿宋_GB2312" w:cs="仿宋_GB2312"/>
                <w:b w:val="0"/>
                <w:bCs w:val="0"/>
                <w:sz w:val="15"/>
                <w:szCs w:val="15"/>
                <w:vertAlign w:val="baseline"/>
                <w:lang w:val="en-US" w:eastAsia="zh-CN"/>
              </w:rPr>
            </w:pPr>
            <w:r>
              <w:rPr>
                <w:rFonts w:ascii="Helvetica" w:hAnsi="Helvetica" w:eastAsia="Helvetica" w:cs="Helvetica"/>
                <w:sz w:val="15"/>
                <w:szCs w:val="15"/>
              </w:rPr>
              <w:t>头部、面部、胸部、腹部</w:t>
            </w:r>
          </w:p>
        </w:tc>
        <w:tc>
          <w:tcPr>
            <w:tcW w:w="1186" w:type="dxa"/>
            <w:noWrap w:val="0"/>
            <w:vAlign w:val="center"/>
          </w:tcPr>
          <w:p w14:paraId="0D8D06C4">
            <w:pPr>
              <w:widowControl/>
              <w:jc w:val="both"/>
              <w:rPr>
                <w:rFonts w:hint="eastAsia" w:ascii="仿宋_GB2312" w:hAnsi="仿宋_GB2312" w:eastAsia="仿宋_GB2312" w:cs="仿宋_GB2312"/>
                <w:b w:val="0"/>
                <w:bCs w:val="0"/>
                <w:kern w:val="2"/>
                <w:sz w:val="15"/>
                <w:szCs w:val="15"/>
                <w:vertAlign w:val="baseline"/>
                <w:lang w:val="en-US" w:eastAsia="zh-CN" w:bidi="ar-SA"/>
              </w:rPr>
            </w:pPr>
            <w:r>
              <w:rPr>
                <w:rFonts w:ascii="Helvetica" w:hAnsi="Helvetica" w:eastAsia="Helvetica" w:cs="Helvetica"/>
                <w:sz w:val="15"/>
                <w:szCs w:val="15"/>
              </w:rPr>
              <w:t>被汝阳县人民医院胸腔外科诊断为：1、多发肋骨骨折（第3，4，5，6，7，8，9，10肋）；2、双肺挫伤；3、多处皮肤挫伤；4、头皮裂伤；5、头皮血肿；6、面部软组织损伤；7、腹部损伤、肠管损伤？腹腔积血？；8、多处软组织损伤。（伤情诊断以医院诊断结论为准）</w:t>
            </w:r>
          </w:p>
        </w:tc>
        <w:tc>
          <w:tcPr>
            <w:tcW w:w="1168" w:type="dxa"/>
            <w:noWrap w:val="0"/>
            <w:vAlign w:val="center"/>
          </w:tcPr>
          <w:p w14:paraId="26C31BAE">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06FB97C7">
      <w:pPr>
        <w:tabs>
          <w:tab w:val="left" w:pos="9574"/>
        </w:tabs>
        <w:ind w:right="-718" w:rightChars="-342"/>
        <w:jc w:val="both"/>
        <w:rPr>
          <w:rFonts w:hint="default" w:ascii="宋体" w:hAnsi="宋体"/>
          <w:sz w:val="32"/>
          <w:szCs w:val="32"/>
          <w:lang w:val="en-US" w:eastAsia="zh-CN"/>
        </w:rPr>
      </w:pPr>
    </w:p>
    <w:p w14:paraId="76A7F9E3">
      <w:pPr>
        <w:tabs>
          <w:tab w:val="left" w:pos="9574"/>
        </w:tabs>
        <w:ind w:right="-718" w:rightChars="-342"/>
        <w:jc w:val="both"/>
        <w:rPr>
          <w:rFonts w:hint="default" w:ascii="宋体" w:hAnsi="宋体"/>
          <w:sz w:val="32"/>
          <w:szCs w:val="32"/>
          <w:lang w:val="en-US" w:eastAsia="zh-CN"/>
        </w:rPr>
      </w:pP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12C66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3D6DCC0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94EB065">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7D2C58A0">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1342436E">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5C86EA2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63DE012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4E326AB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64E651B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7CC509D5">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547A5E0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3004166A">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06C8CD23">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3B4AF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22EF4291">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4</w:t>
            </w:r>
          </w:p>
        </w:tc>
        <w:tc>
          <w:tcPr>
            <w:tcW w:w="510" w:type="dxa"/>
            <w:noWrap w:val="0"/>
            <w:vAlign w:val="center"/>
          </w:tcPr>
          <w:p w14:paraId="3CBCDCBC">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牛琪云</w:t>
            </w:r>
          </w:p>
        </w:tc>
        <w:tc>
          <w:tcPr>
            <w:tcW w:w="810" w:type="dxa"/>
            <w:noWrap w:val="0"/>
            <w:vAlign w:val="center"/>
          </w:tcPr>
          <w:p w14:paraId="781F7EBB">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21"/>
                <w:szCs w:val="21"/>
              </w:rPr>
              <w:t>洛阳鸿路建筑科技有限公司</w:t>
            </w:r>
          </w:p>
        </w:tc>
        <w:tc>
          <w:tcPr>
            <w:tcW w:w="810" w:type="dxa"/>
            <w:noWrap w:val="0"/>
            <w:vAlign w:val="center"/>
          </w:tcPr>
          <w:p w14:paraId="122ED92D">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牛琪云</w:t>
            </w:r>
          </w:p>
        </w:tc>
        <w:tc>
          <w:tcPr>
            <w:tcW w:w="1440" w:type="dxa"/>
            <w:noWrap w:val="0"/>
            <w:vAlign w:val="center"/>
          </w:tcPr>
          <w:p w14:paraId="5F190EF7">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2023-12-29</w:t>
            </w:r>
          </w:p>
        </w:tc>
        <w:tc>
          <w:tcPr>
            <w:tcW w:w="1485" w:type="dxa"/>
            <w:noWrap w:val="0"/>
            <w:vAlign w:val="center"/>
          </w:tcPr>
          <w:p w14:paraId="7EAC3882">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2024-07-02</w:t>
            </w:r>
          </w:p>
        </w:tc>
        <w:tc>
          <w:tcPr>
            <w:tcW w:w="1530" w:type="dxa"/>
            <w:noWrap w:val="0"/>
            <w:vAlign w:val="center"/>
          </w:tcPr>
          <w:p w14:paraId="06138D2A">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2024-08-31</w:t>
            </w:r>
          </w:p>
        </w:tc>
        <w:tc>
          <w:tcPr>
            <w:tcW w:w="1620" w:type="dxa"/>
            <w:noWrap w:val="0"/>
            <w:vAlign w:val="center"/>
          </w:tcPr>
          <w:p w14:paraId="0C1892F7">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洛阳鸿路建筑科技有限公司厂区</w:t>
            </w:r>
          </w:p>
        </w:tc>
        <w:tc>
          <w:tcPr>
            <w:tcW w:w="3225" w:type="dxa"/>
            <w:noWrap w:val="0"/>
            <w:vAlign w:val="center"/>
          </w:tcPr>
          <w:p w14:paraId="223FE5E6">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2023年12月29日凌晨1时03分左右，牛琪云在洛阳鸿路建筑科技有限公司二期车间一线从事檩条操作工作过程中，被机器输出的材料夹住左腿、无法挣脱，活动受限，伤后被送至洛阳市正骨医院救治。被洛阳市正骨医院髋关节外三科诊断为：1、股骨骨折。（伤情诊断以医院诊断结论为准）</w:t>
            </w:r>
          </w:p>
        </w:tc>
        <w:tc>
          <w:tcPr>
            <w:tcW w:w="1125" w:type="dxa"/>
            <w:noWrap w:val="0"/>
            <w:vAlign w:val="center"/>
          </w:tcPr>
          <w:p w14:paraId="745802AC">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左腿</w:t>
            </w:r>
          </w:p>
        </w:tc>
        <w:tc>
          <w:tcPr>
            <w:tcW w:w="1186" w:type="dxa"/>
            <w:noWrap w:val="0"/>
            <w:vAlign w:val="center"/>
          </w:tcPr>
          <w:p w14:paraId="16C0DB07">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被洛阳市正骨医院髋关节外三科诊断为：1、股骨骨折。（伤情诊断以医院诊断结论为准）</w:t>
            </w:r>
          </w:p>
        </w:tc>
        <w:tc>
          <w:tcPr>
            <w:tcW w:w="1168" w:type="dxa"/>
            <w:noWrap w:val="0"/>
            <w:vAlign w:val="center"/>
          </w:tcPr>
          <w:p w14:paraId="4EEA924A">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1C9D44EC">
      <w:pPr>
        <w:tabs>
          <w:tab w:val="left" w:pos="9574"/>
        </w:tabs>
        <w:ind w:right="-718" w:rightChars="-342"/>
        <w:jc w:val="both"/>
        <w:rPr>
          <w:rFonts w:hint="default" w:ascii="宋体" w:hAnsi="宋体"/>
          <w:sz w:val="32"/>
          <w:szCs w:val="32"/>
          <w:lang w:val="en-US" w:eastAsia="zh-CN"/>
        </w:rPr>
      </w:pPr>
    </w:p>
    <w:p w14:paraId="25101E76">
      <w:pPr>
        <w:tabs>
          <w:tab w:val="left" w:pos="9574"/>
        </w:tabs>
        <w:ind w:right="-718" w:rightChars="-342"/>
        <w:jc w:val="both"/>
        <w:rPr>
          <w:rFonts w:hint="default" w:ascii="宋体" w:hAnsi="宋体"/>
          <w:sz w:val="32"/>
          <w:szCs w:val="32"/>
          <w:lang w:val="en-US" w:eastAsia="zh-CN"/>
        </w:rPr>
      </w:pP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101AC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171D114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7AD2215">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31CF5D5E">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22F4979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539DB82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5CF408A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3EF9B1C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337E827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2C2F4C19">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3106318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71D854C6">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7AA54C00">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4E195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3E3F7F1F">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5</w:t>
            </w:r>
          </w:p>
        </w:tc>
        <w:tc>
          <w:tcPr>
            <w:tcW w:w="510" w:type="dxa"/>
            <w:noWrap w:val="0"/>
            <w:vAlign w:val="center"/>
          </w:tcPr>
          <w:p w14:paraId="3FD972C2">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蔡晓隆</w:t>
            </w:r>
          </w:p>
        </w:tc>
        <w:tc>
          <w:tcPr>
            <w:tcW w:w="810" w:type="dxa"/>
            <w:noWrap w:val="0"/>
            <w:vAlign w:val="center"/>
          </w:tcPr>
          <w:p w14:paraId="0D90A2B5">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28"/>
                <w:szCs w:val="28"/>
              </w:rPr>
              <w:t>洛阳鸿路建筑科技有限公司</w:t>
            </w:r>
          </w:p>
        </w:tc>
        <w:tc>
          <w:tcPr>
            <w:tcW w:w="810" w:type="dxa"/>
            <w:noWrap w:val="0"/>
            <w:vAlign w:val="center"/>
          </w:tcPr>
          <w:p w14:paraId="279C9C6D">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蔡晓隆</w:t>
            </w:r>
          </w:p>
        </w:tc>
        <w:tc>
          <w:tcPr>
            <w:tcW w:w="1440" w:type="dxa"/>
            <w:noWrap w:val="0"/>
            <w:vAlign w:val="center"/>
          </w:tcPr>
          <w:p w14:paraId="1E1621DF">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2023-07-24</w:t>
            </w:r>
          </w:p>
        </w:tc>
        <w:tc>
          <w:tcPr>
            <w:tcW w:w="1485" w:type="dxa"/>
            <w:noWrap w:val="0"/>
            <w:vAlign w:val="center"/>
          </w:tcPr>
          <w:p w14:paraId="5F1DC483">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2024-07-18</w:t>
            </w:r>
          </w:p>
        </w:tc>
        <w:tc>
          <w:tcPr>
            <w:tcW w:w="1530" w:type="dxa"/>
            <w:noWrap w:val="0"/>
            <w:vAlign w:val="center"/>
          </w:tcPr>
          <w:p w14:paraId="5ED4C53C">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2024-08-31</w:t>
            </w:r>
          </w:p>
        </w:tc>
        <w:tc>
          <w:tcPr>
            <w:tcW w:w="1620" w:type="dxa"/>
            <w:noWrap w:val="0"/>
            <w:vAlign w:val="center"/>
          </w:tcPr>
          <w:p w14:paraId="36D4CAE2">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洛阳鸿路建筑科技有限公司二期车间三线内</w:t>
            </w:r>
          </w:p>
        </w:tc>
        <w:tc>
          <w:tcPr>
            <w:tcW w:w="3225" w:type="dxa"/>
            <w:noWrap w:val="0"/>
            <w:vAlign w:val="center"/>
          </w:tcPr>
          <w:p w14:paraId="63A2470B">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2023年7月24日8时30分左右（24小时），蔡晓隆在洛阳鸿路建筑科技有限公司二期车间三线内从事拼装工作过程中，被行车吊的钢梁脱落时砸住右脚，活动受限，伤后被送至汝阳县陶营镇卫生院拍片检查、门诊治疗，半个月后到汝阳县人民医院定期拍片复查、门诊治疗，被汝阳县陶营镇卫生院诊断为：1、右足第2跖骨骨折；2、软组织损伤。（伤情诊断结论以医院诊断结论为准。）</w:t>
            </w:r>
          </w:p>
        </w:tc>
        <w:tc>
          <w:tcPr>
            <w:tcW w:w="1125" w:type="dxa"/>
            <w:noWrap w:val="0"/>
            <w:vAlign w:val="center"/>
          </w:tcPr>
          <w:p w14:paraId="33BC6068">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右脚</w:t>
            </w:r>
          </w:p>
        </w:tc>
        <w:tc>
          <w:tcPr>
            <w:tcW w:w="1186" w:type="dxa"/>
            <w:noWrap w:val="0"/>
            <w:vAlign w:val="center"/>
          </w:tcPr>
          <w:p w14:paraId="1E17E8DA">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被汝阳县陶营镇卫生院诊断为：1、右足第2跖骨骨折；2、软组织损伤。（伤情诊断结论以医院诊断结论为准。）</w:t>
            </w:r>
          </w:p>
        </w:tc>
        <w:tc>
          <w:tcPr>
            <w:tcW w:w="1168" w:type="dxa"/>
            <w:noWrap w:val="0"/>
            <w:vAlign w:val="center"/>
          </w:tcPr>
          <w:p w14:paraId="28527757">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02DE9BED">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jRmNzYzNDE0MmJkMTUwMzA3ZWQwMjMzZGQ1NjUifQ=="/>
  </w:docVars>
  <w:rsids>
    <w:rsidRoot w:val="00000000"/>
    <w:rsid w:val="1874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2024-10-21T09:08:17Z</dcterms:created>
  <dc:creator>Administrator</dc:creator>
  <cp:lastModifiedBy>花败</cp:lastModifiedBy>
  <dcterms:modified xsi:type="dcterms:W3CDTF">2024-10-21T09:10:35Z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442D8E9D55874A9FAD344E74C3347D21_12</vt:lpwstr>
  </property>
</Properties>
</file>